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246E93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EB2C99">
        <w:rPr>
          <w:rFonts w:ascii="Arial" w:hAnsi="Arial" w:cs="Arial"/>
          <w:b/>
          <w:bCs/>
          <w:color w:val="auto"/>
          <w:sz w:val="32"/>
          <w:szCs w:val="32"/>
        </w:rPr>
        <w:t>(2026</w:t>
      </w:r>
      <w:r w:rsidR="00246E93">
        <w:rPr>
          <w:rFonts w:ascii="Arial" w:hAnsi="Arial" w:cs="Arial"/>
          <w:b/>
          <w:bCs/>
          <w:color w:val="auto"/>
          <w:sz w:val="32"/>
          <w:szCs w:val="32"/>
        </w:rPr>
        <w:t xml:space="preserve"> год) </w:t>
      </w:r>
      <w:r w:rsidR="00D043A8">
        <w:rPr>
          <w:rFonts w:ascii="Arial" w:hAnsi="Arial" w:cs="Arial"/>
          <w:b/>
          <w:bCs/>
          <w:color w:val="auto"/>
          <w:sz w:val="32"/>
          <w:szCs w:val="32"/>
        </w:rPr>
        <w:t>4</w:t>
      </w:r>
      <w:r w:rsidR="00246E93">
        <w:rPr>
          <w:rFonts w:ascii="Arial" w:hAnsi="Arial" w:cs="Arial"/>
          <w:b/>
          <w:bCs/>
          <w:color w:val="auto"/>
          <w:sz w:val="32"/>
          <w:szCs w:val="32"/>
        </w:rPr>
        <w:t xml:space="preserve"> дня/</w:t>
      </w:r>
      <w:r w:rsidR="00D043A8">
        <w:rPr>
          <w:rFonts w:ascii="Arial" w:hAnsi="Arial" w:cs="Arial"/>
          <w:b/>
          <w:bCs/>
          <w:color w:val="auto"/>
          <w:sz w:val="32"/>
          <w:szCs w:val="32"/>
        </w:rPr>
        <w:t>3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246E93" w:rsidRPr="009026BE" w:rsidRDefault="00246E93" w:rsidP="00246E93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246E93" w:rsidRPr="00246E93" w:rsidRDefault="00540615" w:rsidP="006B2E15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246E93">
        <w:rPr>
          <w:rFonts w:ascii="Arial" w:hAnsi="Arial" w:cs="Arial"/>
          <w:b/>
          <w:color w:val="auto"/>
        </w:rPr>
        <w:t xml:space="preserve">Минск </w:t>
      </w:r>
      <w:r w:rsidR="00645B29" w:rsidRPr="00246E93">
        <w:rPr>
          <w:rFonts w:ascii="Arial" w:hAnsi="Arial" w:cs="Arial"/>
          <w:b/>
          <w:bCs/>
          <w:iCs/>
          <w:color w:val="auto"/>
        </w:rPr>
        <w:t>– Хатынь – Брест</w:t>
      </w:r>
      <w:r w:rsidR="00246E93">
        <w:rPr>
          <w:rFonts w:ascii="Arial" w:hAnsi="Arial" w:cs="Arial"/>
          <w:b/>
          <w:bCs/>
          <w:iCs/>
          <w:color w:val="auto"/>
        </w:rPr>
        <w:t xml:space="preserve"> </w:t>
      </w:r>
      <w:r w:rsidR="00645B29" w:rsidRPr="00246E93">
        <w:rPr>
          <w:rFonts w:ascii="Arial" w:hAnsi="Arial" w:cs="Arial"/>
          <w:b/>
          <w:bCs/>
          <w:iCs/>
          <w:color w:val="auto"/>
        </w:rPr>
        <w:t xml:space="preserve">– Беловежская пуща – Музей народного быта – Каменец – </w:t>
      </w:r>
      <w:r w:rsidR="00974459" w:rsidRPr="00246E93">
        <w:rPr>
          <w:rFonts w:ascii="Arial" w:hAnsi="Arial" w:cs="Arial"/>
          <w:b/>
          <w:color w:val="auto"/>
        </w:rPr>
        <w:t>Брест/Минск</w:t>
      </w:r>
      <w:r w:rsidR="004434B1" w:rsidRPr="00246E93">
        <w:rPr>
          <w:rFonts w:ascii="Arial" w:hAnsi="Arial" w:cs="Arial"/>
          <w:b/>
          <w:color w:val="auto"/>
        </w:rPr>
        <w:t>*</w:t>
      </w:r>
    </w:p>
    <w:p w:rsidR="00246E93" w:rsidRPr="004E3694" w:rsidRDefault="00246E93" w:rsidP="00246E93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8"/>
          <w:szCs w:val="22"/>
        </w:rPr>
      </w:pPr>
    </w:p>
    <w:p w:rsidR="00FD448B" w:rsidRDefault="00FD448B" w:rsidP="00246E9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9026BE">
        <w:trPr>
          <w:trHeight w:val="5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859EE" w:rsidRDefault="00B859EE" w:rsidP="00B859E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59EE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B859EE" w:rsidRPr="00B859EE" w:rsidRDefault="00B859EE" w:rsidP="00B859E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59EE" w:rsidRPr="00B859EE" w:rsidRDefault="00B859EE" w:rsidP="00B859EE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59EE">
              <w:rPr>
                <w:rFonts w:ascii="Arial" w:hAnsi="Arial" w:cs="Arial"/>
                <w:b/>
                <w:sz w:val="18"/>
                <w:szCs w:val="18"/>
              </w:rPr>
              <w:t xml:space="preserve">В этом туре Вы увидите главные и старейшие города Беларуси – почти тысячелетний Минск и уже тысячелетний Брест! А кроме того посещение всемирно известных мемориалов в Хатыни и Брестской крепости, знакомство с “заповедным </w:t>
            </w:r>
            <w:r w:rsidRPr="00B859EE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напевом</w:t>
            </w:r>
            <w:r w:rsidRPr="00B859EE">
              <w:rPr>
                <w:rFonts w:ascii="Arial" w:hAnsi="Arial" w:cs="Arial"/>
                <w:b/>
                <w:sz w:val="18"/>
                <w:szCs w:val="18"/>
              </w:rPr>
              <w:t>” Беловежской пущи и колоритным музеем народного быта… 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обильные завтраки шведский стол, вкусные обеды каждый день, купание в аквапарке…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ХЭМПТОН БАЙ ХИЛТОН***</w:t>
            </w:r>
          </w:p>
          <w:p w:rsidR="009026BE" w:rsidRDefault="009026BE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D043A8" w:rsidRPr="00B1487A" w:rsidRDefault="00D043A8" w:rsidP="009026BE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B1487A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D043A8" w:rsidRDefault="00D043A8" w:rsidP="009026B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225C05" w:rsidRPr="00225C05" w:rsidRDefault="00B859EE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225C05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225C05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225C05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  <w:r w:rsidRPr="00225C05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225C05" w:rsidRDefault="00225C05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859EE" w:rsidRDefault="00B859EE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</w:t>
            </w:r>
          </w:p>
          <w:p w:rsidR="0018032F" w:rsidRPr="0018032F" w:rsidRDefault="0018032F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859EE" w:rsidRDefault="00B859EE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ОБЗОРНАЯ экскурсия по Минску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(3,5 часа). </w:t>
            </w:r>
            <w:r w:rsidRPr="0018032F">
              <w:rPr>
                <w:rFonts w:ascii="Arial" w:hAnsi="Arial" w:cs="Arial"/>
                <w:sz w:val="18"/>
                <w:szCs w:val="18"/>
              </w:rPr>
              <w:t>Начало в</w:t>
            </w:r>
            <w:r w:rsidRPr="0018032F">
              <w:rPr>
                <w:rFonts w:ascii="Arial" w:hAnsi="Arial" w:cs="Arial"/>
                <w:bCs/>
                <w:sz w:val="18"/>
                <w:szCs w:val="18"/>
              </w:rPr>
              <w:t xml:space="preserve"> 9.30 от гостиницы Виктория-СПА; в 10.00 от гостиницы Беларусь***.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val="be-BY" w:eastAsia="ru-RU"/>
              </w:rPr>
              <w:t xml:space="preserve"> с которым жизнь Минска была связана на протяжении пяти веков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.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В Верхнем городе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сохранились памятники архитектуры 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val="en-US" w:eastAsia="ru-RU"/>
              </w:rPr>
              <w:t>XVII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—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val="en-US" w:eastAsia="ru-RU"/>
              </w:rPr>
              <w:t>XIX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val="be-BY" w:eastAsia="ru-RU"/>
              </w:rPr>
              <w:t xml:space="preserve"> веков. На его главной площади – </w:t>
            </w:r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базилиан</w:t>
            </w:r>
            <w:proofErr w:type="spellEnd"/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, иезуитов); здесь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>На пл. Свободы</w:t>
            </w:r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Далее перед Вашим взором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18032F">
              <w:rPr>
                <w:rFonts w:ascii="Arial" w:hAnsi="Arial" w:cs="Arial"/>
                <w:iCs/>
                <w:sz w:val="18"/>
                <w:szCs w:val="18"/>
                <w:lang w:eastAsia="ru-RU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…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225C05" w:rsidRPr="0018032F" w:rsidRDefault="00225C05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25C05" w:rsidRDefault="00B859EE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18032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шеходной прогулки по живописному </w:t>
            </w: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ТРОИЦКОМУ ПРЕДМЕСТЬЮ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18032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ОБЕД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</w:t>
            </w:r>
          </w:p>
          <w:p w:rsidR="00225C05" w:rsidRDefault="00225C05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225C05" w:rsidRDefault="00B859EE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Свободное время, прогулки по городу – все рядом! </w:t>
            </w:r>
          </w:p>
          <w:p w:rsidR="00225C05" w:rsidRDefault="00225C05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043A8" w:rsidRDefault="00B859EE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Ночлег в Минске</w:t>
            </w:r>
            <w:r w:rsidR="0018032F" w:rsidRPr="0018032F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225C05" w:rsidRPr="00225C05" w:rsidRDefault="00225C05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</w:t>
            </w:r>
          </w:p>
          <w:p w:rsidR="0018032F" w:rsidRP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b/>
                <w:sz w:val="18"/>
                <w:szCs w:val="18"/>
              </w:rPr>
              <w:t>Экскурсия в Мемориальный комплекс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 xml:space="preserve">ХАТЫНЬ 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(5,5 часов). Экскурсия посвящена событиям Великой Отечественной войны, долгим годам оккупации и борьбы белорусского народа против захватчиков.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затерявшаяся в лесах деревня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>Хатынь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вместе со 149 жителями. На месте трагедии в 1968 году архитекторы Ю. Градов, В. 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</w:rPr>
              <w:t>Занкович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</w:rPr>
              <w:t xml:space="preserve">, Л. Левин и скульптор С. 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</w:rPr>
              <w:t>Селиханов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</w:rPr>
              <w:t xml:space="preserve"> создали величественный мемориал, ныне знаменитый на весь мир. Он создан 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- каждый 3-й житель Беларуси погиб в годы Великой Отечественной войны… </w:t>
            </w:r>
          </w:p>
          <w:p w:rsidR="0018032F" w:rsidRP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 xml:space="preserve">Мемориальный архитектурно-скульптурный комплекс, занимающий площадь около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18032F">
                <w:rPr>
                  <w:rFonts w:ascii="Arial" w:hAnsi="Arial" w:cs="Arial"/>
                  <w:sz w:val="18"/>
                  <w:szCs w:val="18"/>
                </w:rPr>
                <w:t>50 га</w:t>
              </w:r>
            </w:smartTag>
            <w:r w:rsidRPr="0018032F">
              <w:rPr>
                <w:rFonts w:ascii="Arial" w:hAnsi="Arial" w:cs="Arial"/>
                <w:sz w:val="18"/>
                <w:szCs w:val="18"/>
              </w:rPr>
              <w:t xml:space="preserve">, получил планировочную схему бывшей деревни Хатыни. Формируется он из отдельных фрагментов. В центре композиции высится шестиметровая бронзовая скульптура "Непокоренный человек" с убитым ребенком на руках. Рядом сомкнутые гранитные плиты, символизирующие крышу сарая, в котором были сожжены жители деревни. Бывшая улица деревни выложена серыми, под цвет пепла, плитами. В тех местах, где стояли дома, поставлено 26 обелисков в виде опаленных огнем печных труб. На них - бронзовые таблички </w:t>
            </w:r>
            <w:r w:rsidRPr="0018032F">
              <w:rPr>
                <w:rFonts w:ascii="Arial" w:hAnsi="Arial" w:cs="Arial"/>
                <w:sz w:val="18"/>
                <w:szCs w:val="18"/>
              </w:rPr>
              <w:lastRenderedPageBreak/>
              <w:t xml:space="preserve">с именами тех, кто здесь родился и жил. А сверху - печально звенящие колокола. Здесь же находится единственное в мире Кладбище деревень; в память о жертвах фашистского террора горит Вечный огонь. В недавно созданном </w:t>
            </w:r>
            <w:r w:rsidRPr="0018032F">
              <w:rPr>
                <w:rFonts w:ascii="Arial" w:hAnsi="Arial" w:cs="Arial"/>
                <w:b/>
                <w:bCs/>
                <w:sz w:val="18"/>
                <w:szCs w:val="18"/>
              </w:rPr>
              <w:t>МУЗЕЕ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комплекса шесть залов с экспозицией, рассказывающей о трагедии мирного населения во время вооруженных конфликтов. Музей интерактивный, оставляет сильное эмоциональное впечатление…</w:t>
            </w:r>
          </w:p>
          <w:p w:rsidR="0018032F" w:rsidRP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 xml:space="preserve">В заключение экскурсии Вы посетите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Курган Славы 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- памятник воинам-освободителям Минска летом 1944 года. Открытие Кургана состоялось в 1969 году. Земляной холм высотой 35 метров венчает скульптурная композиция из четырёх штыков высотой 36 метра каждый. Штыки символизируют 1-й, 2-й, 3-й Белорусские и 1-й Прибалтийский фронты, освобождавшие Беларусь. От подножия кургана вверх, опоясывая его, ведут две бетонные лестницы. Вы сможете подняться на вершину этого действительно грандиозного сооружения. В конце экскурсии Вас ожидает </w:t>
            </w:r>
            <w:r w:rsidRPr="0018032F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</w:p>
          <w:p w:rsidR="0018032F" w:rsidRPr="0018032F" w:rsidRDefault="0018032F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032F" w:rsidRDefault="0018032F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 – все рядом! </w:t>
            </w:r>
          </w:p>
          <w:p w:rsidR="0018032F" w:rsidRDefault="0018032F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6E93" w:rsidRDefault="0018032F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18032F" w:rsidRPr="0018032F" w:rsidRDefault="0018032F" w:rsidP="0018032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6B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026BE" w:rsidRPr="001D79FA" w:rsidRDefault="009026BE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18032F" w:rsidRP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>Выезд из Минска в Брест-Беловежскую пущу.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18032F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18032F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18032F" w:rsidRP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18032F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6E93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18032F" w:rsidRPr="0018032F" w:rsidRDefault="0018032F" w:rsidP="001803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3A8" w:rsidRPr="001D79FA" w:rsidTr="00AB7ECC">
        <w:trPr>
          <w:trHeight w:val="1328"/>
        </w:trPr>
        <w:tc>
          <w:tcPr>
            <w:tcW w:w="880" w:type="dxa"/>
            <w:vAlign w:val="center"/>
          </w:tcPr>
          <w:p w:rsidR="00D043A8" w:rsidRDefault="00D043A8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18032F" w:rsidRP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18032F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18032F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18032F" w:rsidRPr="0018032F" w:rsidRDefault="0018032F" w:rsidP="0018032F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8032F" w:rsidRPr="0018032F" w:rsidRDefault="0018032F" w:rsidP="0018032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8980281"/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</w:t>
            </w:r>
            <w:r w:rsidRPr="0018032F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0"/>
            <w:r w:rsidRPr="0018032F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18032F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18032F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18032F" w:rsidRPr="0018032F" w:rsidRDefault="0018032F" w:rsidP="0018032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8032F" w:rsidRPr="0018032F" w:rsidRDefault="0018032F" w:rsidP="0018032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32F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</w:t>
            </w:r>
            <w:r w:rsidRPr="001803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18032F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18032F" w:rsidRPr="0018032F" w:rsidRDefault="0018032F" w:rsidP="0018032F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8032F" w:rsidRPr="0018032F" w:rsidRDefault="0018032F" w:rsidP="0018032F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32F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246E93" w:rsidRPr="0018032F" w:rsidRDefault="00246E93" w:rsidP="006B2E1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246E93" w:rsidRDefault="00FD448B" w:rsidP="00B859EE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B859EE" w:rsidRPr="00DF43A3" w:rsidRDefault="00B859EE" w:rsidP="00B859EE">
            <w:pPr>
              <w:numPr>
                <w:ilvl w:val="1"/>
                <w:numId w:val="21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3915751"/>
            <w:r w:rsidRPr="00DF43A3">
              <w:rPr>
                <w:rFonts w:ascii="Arial" w:hAnsi="Arial" w:cs="Arial"/>
                <w:sz w:val="18"/>
                <w:szCs w:val="18"/>
              </w:rPr>
              <w:t xml:space="preserve">Минск - в гостинице Беларусь*** (с бассейном) или в гостинице </w:t>
            </w:r>
            <w:proofErr w:type="spellStart"/>
            <w:r w:rsidRPr="00DF43A3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DF43A3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B859EE" w:rsidRPr="00DF43A3" w:rsidRDefault="00B859EE" w:rsidP="00B859EE">
            <w:pPr>
              <w:numPr>
                <w:ilvl w:val="1"/>
                <w:numId w:val="2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современной </w:t>
            </w:r>
            <w:proofErr w:type="spellStart"/>
            <w:r w:rsidRPr="00DF43A3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DF43A3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1"/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+ 4 обеда </w:t>
            </w:r>
          </w:p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Экскурсия “Мемориальный комплекс Хатынь”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Входные билеты в Мемориал в Хатыни, посещение музея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Экскурсия на Курган Славы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48983346"/>
            <w:r w:rsidRPr="00DF43A3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DF43A3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DF43A3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2"/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B859EE" w:rsidRPr="00DF43A3" w:rsidRDefault="00B859EE" w:rsidP="00B859EE">
            <w:pPr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B859EE" w:rsidRP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59EE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B859EE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B859EE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B859EE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B859E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859EE" w:rsidRDefault="00B859EE" w:rsidP="00B859E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B859EE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B859E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859EE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B859EE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B859EE" w:rsidRPr="00B859EE" w:rsidRDefault="00B859EE" w:rsidP="00B859EE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DF19F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246E93" w:rsidRPr="004434B1" w:rsidRDefault="00246E93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  <w:bookmarkStart w:id="3" w:name="_GoBack"/>
            <w:bookmarkEnd w:id="3"/>
          </w:p>
          <w:p w:rsidR="00246E93" w:rsidRDefault="00246E93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246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246E93" w:rsidRPr="00246E93" w:rsidRDefault="00246E93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6E93" w:rsidRPr="00246E93" w:rsidRDefault="00246E93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46E9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434B1" w:rsidRPr="00246E93" w:rsidRDefault="00246E93" w:rsidP="0018032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6E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9026BE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</w:t>
            </w:r>
            <w:r w:rsidR="004434B1"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9026BE" w:rsidRPr="004434B1" w:rsidRDefault="009026B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или ХЭМПТОН бай ХИЛТОН*** (Брест)</w:t>
            </w:r>
          </w:p>
          <w:p w:rsidR="00645B29" w:rsidRPr="0018032F" w:rsidRDefault="0018032F" w:rsidP="0018032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</w:t>
            </w:r>
            <w:r w:rsidRPr="0018032F">
              <w:rPr>
                <w:rFonts w:ascii="Arial" w:hAnsi="Arial" w:cs="Arial"/>
                <w:sz w:val="18"/>
                <w:szCs w:val="18"/>
                <w:lang w:val="be-BY"/>
              </w:rPr>
              <w:t>2</w:t>
            </w:r>
            <w:r w:rsidRPr="0018032F">
              <w:rPr>
                <w:rFonts w:ascii="Arial" w:hAnsi="Arial" w:cs="Arial"/>
                <w:sz w:val="18"/>
                <w:szCs w:val="18"/>
              </w:rPr>
              <w:t xml:space="preserve"> 500 рос. руб.</w:t>
            </w:r>
            <w:r w:rsidRPr="0018032F">
              <w:rPr>
                <w:rFonts w:ascii="Arial" w:hAnsi="Arial" w:cs="Arial"/>
                <w:sz w:val="18"/>
                <w:szCs w:val="18"/>
              </w:rPr>
              <w:br/>
              <w:t>Дети 6—16 лет на доп. месте — минус 20% от цены взрослых (Минск: кроме номеров ТВИН; Брест: в СЕМЕЙНЫХ и ЛЮКСАХ)</w:t>
            </w:r>
            <w:r w:rsidRPr="0018032F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15</w:t>
            </w:r>
            <w:r w:rsidRPr="0018032F">
              <w:rPr>
                <w:rFonts w:ascii="Arial" w:hAnsi="Arial" w:cs="Arial"/>
                <w:sz w:val="18"/>
                <w:szCs w:val="18"/>
                <w:lang w:val="be-BY"/>
              </w:rPr>
              <w:t xml:space="preserve"> 0</w:t>
            </w:r>
            <w:r w:rsidRPr="0018032F">
              <w:rPr>
                <w:rFonts w:ascii="Arial" w:hAnsi="Arial" w:cs="Arial"/>
                <w:sz w:val="18"/>
                <w:szCs w:val="18"/>
              </w:rPr>
              <w:t>00 рос. руб. (экскурсии, завтраки, обеды, место в автобусе)</w:t>
            </w:r>
          </w:p>
          <w:p w:rsidR="0018032F" w:rsidRDefault="0018032F" w:rsidP="00645B29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Default="009026BE" w:rsidP="0018032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 w:rsidR="00576C57"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18032F" w:rsidRPr="0018032F" w:rsidRDefault="0018032F" w:rsidP="0018032F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18032F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2 500 рос. руб.</w:t>
            </w:r>
            <w:r w:rsidRPr="0018032F">
              <w:rPr>
                <w:rFonts w:ascii="Arial" w:hAnsi="Arial" w:cs="Arial"/>
                <w:sz w:val="18"/>
                <w:szCs w:val="18"/>
              </w:rPr>
              <w:br/>
              <w:t>Дети 6—16 лет на дополнительном месте — минус 20% от цены взрослых (Брест: в СЕМЕЙНЫХ и ЛЮКСАХ)</w:t>
            </w:r>
            <w:r w:rsidRPr="0018032F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15 000 рос. руб. (экскурсии, завтраки, обеды, место в автобусе)</w:t>
            </w:r>
          </w:p>
          <w:p w:rsidR="00645B29" w:rsidRPr="00645B29" w:rsidRDefault="00645B29" w:rsidP="00645B29">
            <w:pPr>
              <w:numPr>
                <w:ilvl w:val="0"/>
                <w:numId w:val="8"/>
              </w:num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B2E15" w:rsidRPr="00576C57" w:rsidRDefault="006B2E15" w:rsidP="006B2E15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6B2E15" w:rsidRPr="00576C57" w:rsidRDefault="006B2E15" w:rsidP="006B2E15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 xml:space="preserve"> - 4</w:t>
            </w:r>
            <w:r>
              <w:rPr>
                <w:rFonts w:ascii="Arial" w:hAnsi="Arial" w:cs="Arial"/>
                <w:bCs/>
                <w:sz w:val="18"/>
                <w:szCs w:val="18"/>
              </w:rPr>
              <w:t>3 9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(44 7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Минск, БЕЛАРУСЬ*** – номера СЕМЕЙНЫЕ (2 спальни, 3 чел.), Брест, ВЕСТА*** – ном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- 45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 xml:space="preserve"> (45 3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192C93" w:rsidRDefault="006B2E15" w:rsidP="006B2E1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СЕМЕЙНЫЕ (1 комната) - 4</w:t>
            </w:r>
            <w:r>
              <w:rPr>
                <w:rFonts w:ascii="Arial" w:hAnsi="Arial" w:cs="Arial"/>
                <w:bCs/>
                <w:sz w:val="18"/>
                <w:szCs w:val="18"/>
              </w:rPr>
              <w:t>5 3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(47 9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ХЭМПТОН бай ХИЛТОН*** – номера СЕМЕЙНЫЕ (1 комн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ата,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3 чел) - 45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 xml:space="preserve"> (46 8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611736" w:rsidRDefault="006B2E15" w:rsidP="006B2E15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чел.), Брест, ХЭМПТОН бай ХИЛТОН*** – номера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- 47 8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(50 7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576C57" w:rsidRDefault="006B2E15" w:rsidP="006B2E15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- 45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(58 1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ТВИН плюс (1 большая комната, 2 кровати и диван, 3 чел.), Брест, ВЕСТА*** – ном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- 44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(50 1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576C57" w:rsidRDefault="006B2E15" w:rsidP="006B2E15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чел.), Брест, ХЭМПТОН бай ХИЛТОН*** –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- 45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(53 0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6B2E15" w:rsidRPr="00A71D0D" w:rsidRDefault="006B2E15" w:rsidP="006B2E15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- 53 1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25C05">
              <w:rPr>
                <w:rFonts w:ascii="Arial" w:hAnsi="Arial" w:cs="Arial"/>
                <w:bCs/>
                <w:sz w:val="18"/>
                <w:szCs w:val="18"/>
              </w:rPr>
              <w:t>(67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 400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A71D0D" w:rsidRDefault="00A71D0D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5A17AD" w:rsidRPr="0018032F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18032F" w:rsidRPr="00DF43A3" w:rsidRDefault="0018032F" w:rsidP="0018032F">
            <w:pPr>
              <w:numPr>
                <w:ilvl w:val="0"/>
                <w:numId w:val="8"/>
              </w:numPr>
              <w:tabs>
                <w:tab w:val="left" w:pos="142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F43A3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• В четверг: Обзорную экскурсию по Минску (с обедом) — МИНУС 700 </w:t>
            </w:r>
            <w:proofErr w:type="spellStart"/>
            <w:r w:rsidRPr="00DF43A3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DF43A3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18032F" w:rsidRPr="00DF43A3" w:rsidRDefault="0018032F" w:rsidP="0018032F">
            <w:pPr>
              <w:keepNext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F43A3">
              <w:rPr>
                <w:rFonts w:ascii="Arial" w:hAnsi="Arial" w:cs="Arial"/>
                <w:sz w:val="18"/>
                <w:szCs w:val="18"/>
              </w:rPr>
              <w:t xml:space="preserve">• В пятницу: экскурсию «Мемориальный комплекс Хатынь» (с обедом) — МИНУС 800 рос. руб. </w:t>
            </w:r>
          </w:p>
          <w:p w:rsidR="0018032F" w:rsidRPr="0018032F" w:rsidRDefault="0018032F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026BE" w:rsidRPr="009026BE" w:rsidRDefault="009026BE" w:rsidP="009026BE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парикмахерская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4434B1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74459" w:rsidRPr="00974459" w:rsidRDefault="00974459" w:rsidP="00974459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40615" w:rsidRDefault="00974459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bookmarkStart w:id="4" w:name="_Hlk119269595"/>
            <w:r w:rsidR="0018032F" w:rsidRPr="0018032F">
              <w:rPr>
                <w:rFonts w:ascii="Arial" w:hAnsi="Arial" w:cs="Arial"/>
                <w:bCs/>
                <w:sz w:val="18"/>
                <w:szCs w:val="18"/>
              </w:rPr>
              <w:t xml:space="preserve">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18032F" w:rsidRPr="0018032F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18032F" w:rsidRPr="0018032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18032F" w:rsidRPr="001803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End w:id="4"/>
            <w:r w:rsidR="0018032F" w:rsidRPr="0018032F">
              <w:rPr>
                <w:rFonts w:ascii="Arial" w:hAnsi="Arial" w:cs="Arial"/>
                <w:bCs/>
                <w:sz w:val="18"/>
                <w:szCs w:val="18"/>
              </w:rPr>
              <w:t xml:space="preserve">Минск – Брест 350 км, Брест - Беловежская пуща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18032F" w:rsidRPr="0018032F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</w:p>
          <w:p w:rsidR="00246E93" w:rsidRPr="00974459" w:rsidRDefault="00246E93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03791"/>
    <w:multiLevelType w:val="hybridMultilevel"/>
    <w:tmpl w:val="09F8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50F"/>
    <w:multiLevelType w:val="hybridMultilevel"/>
    <w:tmpl w:val="7166E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353095"/>
    <w:multiLevelType w:val="hybridMultilevel"/>
    <w:tmpl w:val="FF6E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8"/>
  </w:num>
  <w:num w:numId="5">
    <w:abstractNumId w:val="7"/>
  </w:num>
  <w:num w:numId="6">
    <w:abstractNumId w:val="8"/>
  </w:num>
  <w:num w:numId="7">
    <w:abstractNumId w:val="15"/>
  </w:num>
  <w:num w:numId="8">
    <w:abstractNumId w:val="0"/>
  </w:num>
  <w:num w:numId="9">
    <w:abstractNumId w:val="6"/>
  </w:num>
  <w:num w:numId="10">
    <w:abstractNumId w:val="17"/>
  </w:num>
  <w:num w:numId="11">
    <w:abstractNumId w:val="14"/>
  </w:num>
  <w:num w:numId="12">
    <w:abstractNumId w:val="12"/>
  </w:num>
  <w:num w:numId="13">
    <w:abstractNumId w:val="7"/>
  </w:num>
  <w:num w:numId="14">
    <w:abstractNumId w:val="7"/>
  </w:num>
  <w:num w:numId="15">
    <w:abstractNumId w:val="9"/>
  </w:num>
  <w:num w:numId="16">
    <w:abstractNumId w:val="3"/>
  </w:num>
  <w:num w:numId="17">
    <w:abstractNumId w:val="13"/>
  </w:num>
  <w:num w:numId="18">
    <w:abstractNumId w:val="5"/>
  </w:num>
  <w:num w:numId="19">
    <w:abstractNumId w:val="4"/>
  </w:num>
  <w:num w:numId="20">
    <w:abstractNumId w:val="1"/>
  </w:num>
  <w:num w:numId="21">
    <w:abstractNumId w:val="11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4956"/>
    <w:rsid w:val="0001524E"/>
    <w:rsid w:val="00053593"/>
    <w:rsid w:val="0016366A"/>
    <w:rsid w:val="0018032F"/>
    <w:rsid w:val="00192863"/>
    <w:rsid w:val="001A0065"/>
    <w:rsid w:val="001E2608"/>
    <w:rsid w:val="00225C05"/>
    <w:rsid w:val="002332FF"/>
    <w:rsid w:val="00246E93"/>
    <w:rsid w:val="002C730A"/>
    <w:rsid w:val="002D5A4B"/>
    <w:rsid w:val="002F0EB0"/>
    <w:rsid w:val="00356577"/>
    <w:rsid w:val="00367888"/>
    <w:rsid w:val="00382BBF"/>
    <w:rsid w:val="00424B18"/>
    <w:rsid w:val="004434B1"/>
    <w:rsid w:val="004444A0"/>
    <w:rsid w:val="00457741"/>
    <w:rsid w:val="004E3694"/>
    <w:rsid w:val="004F73BF"/>
    <w:rsid w:val="005006F5"/>
    <w:rsid w:val="00513932"/>
    <w:rsid w:val="00540615"/>
    <w:rsid w:val="00574D37"/>
    <w:rsid w:val="00576C57"/>
    <w:rsid w:val="005A17AD"/>
    <w:rsid w:val="00622EA8"/>
    <w:rsid w:val="006252D9"/>
    <w:rsid w:val="00645B29"/>
    <w:rsid w:val="006553C8"/>
    <w:rsid w:val="006B2E15"/>
    <w:rsid w:val="006D7B4D"/>
    <w:rsid w:val="006F16FB"/>
    <w:rsid w:val="007E05AD"/>
    <w:rsid w:val="00826526"/>
    <w:rsid w:val="008770D6"/>
    <w:rsid w:val="009026BE"/>
    <w:rsid w:val="009346F7"/>
    <w:rsid w:val="009710F1"/>
    <w:rsid w:val="00974459"/>
    <w:rsid w:val="009B221C"/>
    <w:rsid w:val="009B43FB"/>
    <w:rsid w:val="00A00BE4"/>
    <w:rsid w:val="00A71D0D"/>
    <w:rsid w:val="00AB7ECC"/>
    <w:rsid w:val="00B1487A"/>
    <w:rsid w:val="00B163D4"/>
    <w:rsid w:val="00B4485B"/>
    <w:rsid w:val="00B859EE"/>
    <w:rsid w:val="00BF6226"/>
    <w:rsid w:val="00C13AAD"/>
    <w:rsid w:val="00CA24A3"/>
    <w:rsid w:val="00CB1190"/>
    <w:rsid w:val="00D043A8"/>
    <w:rsid w:val="00D378F5"/>
    <w:rsid w:val="00D457DE"/>
    <w:rsid w:val="00DE3F5D"/>
    <w:rsid w:val="00DF19F8"/>
    <w:rsid w:val="00E37340"/>
    <w:rsid w:val="00E57503"/>
    <w:rsid w:val="00EB2C99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19</cp:revision>
  <dcterms:created xsi:type="dcterms:W3CDTF">2024-02-22T13:26:00Z</dcterms:created>
  <dcterms:modified xsi:type="dcterms:W3CDTF">2025-12-21T10:04:00Z</dcterms:modified>
</cp:coreProperties>
</file>